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BB6B" w14:textId="670FC37C" w:rsidR="00327199" w:rsidRPr="00D63CE5" w:rsidRDefault="00D63CE5">
      <w:pPr>
        <w:rPr>
          <w:rFonts w:ascii="Century Gothic" w:hAnsi="Century Gothic"/>
          <w:b/>
          <w:bCs/>
        </w:rPr>
      </w:pPr>
      <w:r w:rsidRPr="00D63CE5">
        <w:rPr>
          <w:rFonts w:ascii="Century Gothic" w:hAnsi="Century Gothic"/>
          <w:b/>
          <w:bCs/>
        </w:rPr>
        <w:t>FRAMMENTI DI UN CARTEGGIO</w:t>
      </w:r>
      <w:r w:rsidRPr="00D63CE5">
        <w:rPr>
          <w:rFonts w:ascii="Century Gothic" w:hAnsi="Century Gothic"/>
          <w:b/>
          <w:bCs/>
        </w:rPr>
        <w:br/>
        <w:t>Luigi Luzzatti e Tiziano Zalli. Un’amicizia e una visione condivisa alla base della nascita delle banche popolari, tra le lacune e le discontinuità di un epistolario.</w:t>
      </w:r>
    </w:p>
    <w:p w14:paraId="6B74B53A" w14:textId="77777777" w:rsidR="00D63CE5" w:rsidRPr="00D63CE5" w:rsidRDefault="00D63CE5">
      <w:pPr>
        <w:rPr>
          <w:rFonts w:ascii="Century Gothic" w:hAnsi="Century Gothic"/>
          <w:b/>
          <w:bCs/>
        </w:rPr>
      </w:pPr>
    </w:p>
    <w:p w14:paraId="14B12FBF" w14:textId="77777777" w:rsidR="00D63CE5" w:rsidRPr="00D63CE5" w:rsidRDefault="00D63CE5" w:rsidP="00D63CE5">
      <w:pPr>
        <w:rPr>
          <w:rFonts w:ascii="Century Gothic" w:hAnsi="Century Gothic"/>
        </w:rPr>
      </w:pPr>
      <w:r w:rsidRPr="00D63CE5">
        <w:rPr>
          <w:rFonts w:ascii="Century Gothic" w:hAnsi="Century Gothic"/>
        </w:rPr>
        <w:t>Della corrispondenza tra Tiziano Zalli e Luigi Luzzatti, l’Archivio storico Banco BPM ha ereditato unicamente le lettere scritte da quest’ultimo, ma anche la sola voce di Luzzatti riesce a raccontarci una storia a due, che ha contribuito a inaugurare nella giovane Italia una nuova epoca per il credito bancario.</w:t>
      </w:r>
    </w:p>
    <w:p w14:paraId="6C817645" w14:textId="77777777" w:rsidR="00D63CE5" w:rsidRPr="00D63CE5" w:rsidRDefault="00D63CE5" w:rsidP="00D63CE5">
      <w:pPr>
        <w:rPr>
          <w:rFonts w:ascii="Century Gothic" w:hAnsi="Century Gothic"/>
        </w:rPr>
      </w:pPr>
      <w:r w:rsidRPr="00D63CE5">
        <w:rPr>
          <w:rFonts w:ascii="Century Gothic" w:hAnsi="Century Gothic"/>
        </w:rPr>
        <w:t xml:space="preserve">Il carteggio prende avvio nel gennaio 1864, con una accorata missiva spedita al gerente del Corriere dell’Adda-Gazzetta di Lodi, in cui Luigi Luzzatti lamenta un vero e proprio saccheggio del suo libro </w:t>
      </w:r>
      <w:r w:rsidRPr="00D63CE5">
        <w:rPr>
          <w:rFonts w:ascii="Century Gothic" w:hAnsi="Century Gothic"/>
          <w:i/>
          <w:iCs/>
        </w:rPr>
        <w:t>La diffusione del credito e le banche popolari,</w:t>
      </w:r>
      <w:r w:rsidRPr="00D63CE5">
        <w:rPr>
          <w:rFonts w:ascii="Century Gothic" w:hAnsi="Century Gothic"/>
        </w:rPr>
        <w:t xml:space="preserve"> pubblicato nel 1863: “</w:t>
      </w:r>
      <w:r w:rsidRPr="00D63CE5">
        <w:rPr>
          <w:rFonts w:ascii="Century Gothic" w:hAnsi="Century Gothic"/>
          <w:b/>
          <w:bCs/>
        </w:rPr>
        <w:t>l’autore di quegli articoli, senza citare mai il mio libro e facendone apparire come sue le idee e la forma, copia continuamente non solo tutte le idee del mio lavoro, ma spesso anche periodi interi</w:t>
      </w:r>
      <w:r w:rsidRPr="00D63CE5">
        <w:rPr>
          <w:rFonts w:ascii="Century Gothic" w:hAnsi="Century Gothic"/>
        </w:rPr>
        <w:t xml:space="preserve">”, protesta vibratamente Luzzatti. </w:t>
      </w:r>
    </w:p>
    <w:p w14:paraId="3DA324A3" w14:textId="77777777" w:rsidR="00D63CE5" w:rsidRPr="00D63CE5" w:rsidRDefault="00D63CE5" w:rsidP="00D63CE5">
      <w:pPr>
        <w:rPr>
          <w:rFonts w:ascii="Century Gothic" w:hAnsi="Century Gothic"/>
        </w:rPr>
      </w:pPr>
      <w:r w:rsidRPr="00D63CE5">
        <w:rPr>
          <w:rFonts w:ascii="Century Gothic" w:hAnsi="Century Gothic"/>
        </w:rPr>
        <w:t xml:space="preserve">Nell’unica sua lettera conservata in Archivio storico Banco BPM, </w:t>
      </w:r>
      <w:proofErr w:type="spellStart"/>
      <w:r w:rsidRPr="00D63CE5">
        <w:rPr>
          <w:rFonts w:ascii="Century Gothic" w:hAnsi="Century Gothic"/>
        </w:rPr>
        <w:t>Zalli</w:t>
      </w:r>
      <w:proofErr w:type="spellEnd"/>
      <w:r w:rsidRPr="00D63CE5">
        <w:rPr>
          <w:rFonts w:ascii="Century Gothic" w:hAnsi="Century Gothic"/>
        </w:rPr>
        <w:t xml:space="preserve"> - informato dal gerente del giornale </w:t>
      </w:r>
      <w:proofErr w:type="gramStart"/>
      <w:r w:rsidRPr="00D63CE5">
        <w:rPr>
          <w:rFonts w:ascii="Century Gothic" w:hAnsi="Century Gothic"/>
        </w:rPr>
        <w:t>-  risponde</w:t>
      </w:r>
      <w:proofErr w:type="gramEnd"/>
      <w:r w:rsidRPr="00D63CE5">
        <w:rPr>
          <w:rFonts w:ascii="Century Gothic" w:hAnsi="Century Gothic"/>
        </w:rPr>
        <w:t xml:space="preserve"> a Luzzatti “</w:t>
      </w:r>
      <w:r w:rsidRPr="00D63CE5">
        <w:rPr>
          <w:rFonts w:ascii="Century Gothic" w:hAnsi="Century Gothic"/>
          <w:b/>
          <w:bCs/>
        </w:rPr>
        <w:t>Involontaria e impensata, mi creda o Signore fu la mancanza (…) la lettura del suo trattato mi indusse tanto desidero di conoscerla personalmente, che scrissi ma inutilmente alla redazione della Perseveranza onde avere traccia del suo domicilio.</w:t>
      </w:r>
      <w:r w:rsidRPr="00D63CE5">
        <w:rPr>
          <w:rFonts w:ascii="Century Gothic" w:hAnsi="Century Gothic"/>
        </w:rPr>
        <w:t>” Pur scusandosi con diplomazia, la sua versione dei fatti resta forse poco credibile, anche volendo tener presente che i mezzi per individuare il recapito di una persona all’epoca potessero essere meno agevoli di come lo sono ora.</w:t>
      </w:r>
    </w:p>
    <w:p w14:paraId="36C14686" w14:textId="77777777" w:rsidR="00D63CE5" w:rsidRPr="00D63CE5" w:rsidRDefault="00D63CE5" w:rsidP="00D63CE5">
      <w:pPr>
        <w:rPr>
          <w:rFonts w:ascii="Century Gothic" w:hAnsi="Century Gothic"/>
        </w:rPr>
      </w:pPr>
      <w:r w:rsidRPr="00D63CE5">
        <w:rPr>
          <w:rFonts w:ascii="Century Gothic" w:hAnsi="Century Gothic"/>
        </w:rPr>
        <w:t>Ci si aspetterebbe quindi una reazione negativa, invece Luzzatti decide di mettere da parte la polemica e, incuriosito, dare ascolto alle ragioni di Zalli, che nella stessa lettera chiosa “</w:t>
      </w:r>
      <w:r w:rsidRPr="00D63CE5">
        <w:rPr>
          <w:rFonts w:ascii="Century Gothic" w:hAnsi="Century Gothic"/>
          <w:b/>
          <w:bCs/>
        </w:rPr>
        <w:t>Io voleva ricorrere alle di lei esperienze ai molti studi Ella dimostra aver fatti in proposito per averne consigli nella prossima attuazione di una Banca popolare in questa Città modellata sulle massime ch’ella ha sapientemente svolte nel suo trattato</w:t>
      </w:r>
      <w:r w:rsidRPr="00D63CE5">
        <w:rPr>
          <w:rFonts w:ascii="Century Gothic" w:hAnsi="Century Gothic"/>
        </w:rPr>
        <w:t>”.</w:t>
      </w:r>
    </w:p>
    <w:p w14:paraId="2FBB5D32" w14:textId="77777777" w:rsidR="00D63CE5" w:rsidRPr="00D63CE5" w:rsidRDefault="00D63CE5" w:rsidP="00D63CE5">
      <w:pPr>
        <w:rPr>
          <w:rFonts w:ascii="Century Gothic" w:hAnsi="Century Gothic"/>
        </w:rPr>
      </w:pPr>
      <w:r w:rsidRPr="00D63CE5">
        <w:rPr>
          <w:rFonts w:ascii="Century Gothic" w:hAnsi="Century Gothic"/>
        </w:rPr>
        <w:t>I due, dunque, finiscono per chiarirsi e comprendersi se sin dal marzo successivo Luzzatti afferma “</w:t>
      </w:r>
      <w:r w:rsidRPr="00D63CE5">
        <w:rPr>
          <w:rFonts w:ascii="Century Gothic" w:hAnsi="Century Gothic"/>
          <w:b/>
          <w:bCs/>
        </w:rPr>
        <w:t xml:space="preserve">voi a Lodi avete già percorso maestosamente il sentiero che </w:t>
      </w:r>
      <w:proofErr w:type="gramStart"/>
      <w:r w:rsidRPr="00D63CE5">
        <w:rPr>
          <w:rFonts w:ascii="Century Gothic" w:hAnsi="Century Gothic"/>
          <w:b/>
          <w:bCs/>
        </w:rPr>
        <w:t>mena</w:t>
      </w:r>
      <w:proofErr w:type="gramEnd"/>
      <w:r w:rsidRPr="00D63CE5">
        <w:rPr>
          <w:rFonts w:ascii="Century Gothic" w:hAnsi="Century Gothic"/>
          <w:b/>
          <w:bCs/>
        </w:rPr>
        <w:t xml:space="preserve"> alla vera riforma sociale</w:t>
      </w:r>
      <w:r w:rsidRPr="00D63CE5">
        <w:rPr>
          <w:rFonts w:ascii="Century Gothic" w:hAnsi="Century Gothic"/>
        </w:rPr>
        <w:t>”, e “</w:t>
      </w:r>
      <w:r w:rsidRPr="00D63CE5">
        <w:rPr>
          <w:rFonts w:ascii="Century Gothic" w:hAnsi="Century Gothic"/>
          <w:b/>
          <w:bCs/>
        </w:rPr>
        <w:t>Schulze-Delitzsch giubilerà quando leggerà lo statuto della Banca di Lodi. Voi mi chiedete un franco giudizio sul vostro statuto ed io vi dichiaro sinceramente che lo trovo commendevole sotto ogni riguardo</w:t>
      </w:r>
      <w:r w:rsidRPr="00D63CE5">
        <w:rPr>
          <w:rFonts w:ascii="Century Gothic" w:hAnsi="Century Gothic"/>
        </w:rPr>
        <w:t xml:space="preserve">”. </w:t>
      </w:r>
    </w:p>
    <w:p w14:paraId="41F30AD3" w14:textId="77777777" w:rsidR="00D63CE5" w:rsidRPr="00D63CE5" w:rsidRDefault="00D63CE5" w:rsidP="00D63CE5">
      <w:pPr>
        <w:rPr>
          <w:rFonts w:ascii="Century Gothic" w:hAnsi="Century Gothic"/>
        </w:rPr>
      </w:pPr>
      <w:r w:rsidRPr="00D63CE5">
        <w:rPr>
          <w:rFonts w:ascii="Century Gothic" w:hAnsi="Century Gothic"/>
        </w:rPr>
        <w:t>Si scoprono animati da un ideale comune, quello di sviluppare un modello di credito che sia strumento di emancipazione sociale per le classi meno abbienti in una Italia post-unitaria segnata da un profondo mutamento economico, culturale e sociale. In questa cornice storica, il progetto di una banca vicina alle classi lavoratrici è di portata davvero innovativa.</w:t>
      </w:r>
    </w:p>
    <w:p w14:paraId="23F31B51" w14:textId="77777777" w:rsidR="00D63CE5" w:rsidRPr="00D63CE5" w:rsidRDefault="00D63CE5" w:rsidP="00D63CE5">
      <w:pPr>
        <w:rPr>
          <w:rFonts w:ascii="Century Gothic" w:hAnsi="Century Gothic"/>
        </w:rPr>
      </w:pPr>
      <w:r w:rsidRPr="00D63CE5">
        <w:rPr>
          <w:rFonts w:ascii="Century Gothic" w:hAnsi="Century Gothic"/>
        </w:rPr>
        <w:t xml:space="preserve">Luigi Luzzatti, nato nel 1841 a Venezia, si trasferisce a Padova per gli studi universitari e successivamente a Milano per insegnare all’Istituto Tecnico cittadino. Ispirandosi alle teorie dell’economista tedesco Franz Hermann Schulze-Delitzsch, si fa carico di divulgare, adattandole al contesto italiano, le teorie sul credito cooperativo. </w:t>
      </w:r>
    </w:p>
    <w:p w14:paraId="406BC406" w14:textId="77777777" w:rsidR="00D63CE5" w:rsidRPr="00D63CE5" w:rsidRDefault="00D63CE5" w:rsidP="00D63CE5">
      <w:pPr>
        <w:rPr>
          <w:rFonts w:ascii="Century Gothic" w:hAnsi="Century Gothic"/>
        </w:rPr>
      </w:pPr>
      <w:r w:rsidRPr="00D63CE5">
        <w:rPr>
          <w:rFonts w:ascii="Century Gothic" w:hAnsi="Century Gothic"/>
        </w:rPr>
        <w:lastRenderedPageBreak/>
        <w:t>Le sue riflessioni incontrano l’esperienza concreta di Tiziano Zalli, lodigiano, classe 1830, avvocato e imprenditore, impegnato a promuovere attività sociali nel suo territorio di nascita: Zalli, infatti, ha già messo in atto esperienze come la Società di mutuo soccorso di Lodi e una cassa basata sul prestito d’onore. Da qui, grazie anche al contributo teorico di Luzzatti, sviluppa l’idea di una banca vera e propria destinata a diffondere il credito tra i lavoratori meno abbienti.</w:t>
      </w:r>
    </w:p>
    <w:p w14:paraId="014BEC9B" w14:textId="77777777" w:rsidR="00D63CE5" w:rsidRPr="00D63CE5" w:rsidRDefault="00D63CE5" w:rsidP="00D63CE5">
      <w:pPr>
        <w:rPr>
          <w:rFonts w:ascii="Century Gothic" w:hAnsi="Century Gothic"/>
        </w:rPr>
      </w:pPr>
      <w:r w:rsidRPr="00D63CE5">
        <w:rPr>
          <w:rFonts w:ascii="Century Gothic" w:hAnsi="Century Gothic"/>
        </w:rPr>
        <w:t xml:space="preserve">Il suo impegno culmina il 28 marzo 1864 con la fondazione della </w:t>
      </w:r>
      <w:r w:rsidRPr="00D63CE5">
        <w:rPr>
          <w:rFonts w:ascii="Century Gothic" w:hAnsi="Century Gothic"/>
          <w:b/>
          <w:bCs/>
        </w:rPr>
        <w:t>prima banca popolare in Italia</w:t>
      </w:r>
      <w:r w:rsidRPr="00D63CE5">
        <w:rPr>
          <w:rFonts w:ascii="Century Gothic" w:hAnsi="Century Gothic"/>
        </w:rPr>
        <w:t xml:space="preserve">, la Banca Popolare di Lodi. </w:t>
      </w:r>
    </w:p>
    <w:p w14:paraId="58C0A24A" w14:textId="77777777" w:rsidR="00D63CE5" w:rsidRPr="00D63CE5" w:rsidRDefault="00D63CE5" w:rsidP="00D63CE5">
      <w:pPr>
        <w:rPr>
          <w:rFonts w:ascii="Century Gothic" w:hAnsi="Century Gothic"/>
        </w:rPr>
      </w:pPr>
      <w:r w:rsidRPr="00D63CE5">
        <w:rPr>
          <w:rFonts w:ascii="Century Gothic" w:hAnsi="Century Gothic"/>
        </w:rPr>
        <w:t xml:space="preserve">Sulla scia dell’esperienza lodigiana, Luigi Luzzatti, il cui scopo era creare un modello bancario basato sul credito diffuso, sulla partecipazione collettiva, sul sostegno concreto ai piccoli operatori economici, riesce finalmente a dare concretezza anche al proprio progetto: il 12 dicembre 1865 </w:t>
      </w:r>
      <w:r w:rsidRPr="00D63CE5">
        <w:rPr>
          <w:rFonts w:ascii="Century Gothic" w:hAnsi="Century Gothic"/>
          <w:b/>
          <w:bCs/>
        </w:rPr>
        <w:t>nasce la Banca Popolare di Milano</w:t>
      </w:r>
      <w:r w:rsidRPr="00D63CE5">
        <w:rPr>
          <w:rFonts w:ascii="Century Gothic" w:hAnsi="Century Gothic"/>
        </w:rPr>
        <w:t xml:space="preserve">, di cui rimarrà presidente fino al 1870, per dedicarsi poi ad una lunga e importante carriera politica in Parlamento. </w:t>
      </w:r>
    </w:p>
    <w:p w14:paraId="711EE29F" w14:textId="77777777" w:rsidR="00D63CE5" w:rsidRPr="00D63CE5" w:rsidRDefault="00D63CE5" w:rsidP="00D63CE5">
      <w:pPr>
        <w:rPr>
          <w:rFonts w:ascii="Century Gothic" w:hAnsi="Century Gothic"/>
        </w:rPr>
      </w:pPr>
      <w:r w:rsidRPr="00D63CE5">
        <w:rPr>
          <w:rFonts w:ascii="Century Gothic" w:hAnsi="Century Gothic"/>
        </w:rPr>
        <w:t xml:space="preserve">Ma le lettere ci narrano anche come il rapporto tra Luzzatti e </w:t>
      </w:r>
      <w:proofErr w:type="spellStart"/>
      <w:r w:rsidRPr="00D63CE5">
        <w:rPr>
          <w:rFonts w:ascii="Century Gothic" w:hAnsi="Century Gothic"/>
        </w:rPr>
        <w:t>Zalli</w:t>
      </w:r>
      <w:proofErr w:type="spellEnd"/>
      <w:r w:rsidRPr="00D63CE5">
        <w:rPr>
          <w:rFonts w:ascii="Century Gothic" w:hAnsi="Century Gothic"/>
        </w:rPr>
        <w:t xml:space="preserve"> abbia ben presto travalicato la dimensione professionale per trasformarsi in una vera e propria amicizia. Tra i due si sviluppa rapidamente una sintonia intellettuale, fatta di incoraggiamento reciproco, di confronto leale e di autentica stima. I toni sono affettuosi, diretti e sinceri: in breve tempo si passa da “</w:t>
      </w:r>
      <w:r w:rsidRPr="00D63CE5">
        <w:rPr>
          <w:rFonts w:ascii="Century Gothic" w:hAnsi="Century Gothic"/>
          <w:b/>
          <w:bCs/>
        </w:rPr>
        <w:t>Egregio Signore</w:t>
      </w:r>
      <w:r w:rsidRPr="00D63CE5">
        <w:rPr>
          <w:rFonts w:ascii="Century Gothic" w:hAnsi="Century Gothic"/>
        </w:rPr>
        <w:t xml:space="preserve">” </w:t>
      </w:r>
      <w:proofErr w:type="gramStart"/>
      <w:r w:rsidRPr="00D63CE5">
        <w:rPr>
          <w:rFonts w:ascii="Century Gothic" w:hAnsi="Century Gothic"/>
        </w:rPr>
        <w:t>a  “</w:t>
      </w:r>
      <w:proofErr w:type="gramEnd"/>
      <w:r w:rsidRPr="00D63CE5">
        <w:rPr>
          <w:rFonts w:ascii="Century Gothic" w:hAnsi="Century Gothic"/>
          <w:b/>
          <w:bCs/>
        </w:rPr>
        <w:t>Ottimo amico</w:t>
      </w:r>
      <w:r w:rsidRPr="00D63CE5">
        <w:rPr>
          <w:rFonts w:ascii="Century Gothic" w:hAnsi="Century Gothic"/>
        </w:rPr>
        <w:t>”. E poi “</w:t>
      </w:r>
      <w:r w:rsidRPr="00D63CE5">
        <w:rPr>
          <w:rFonts w:ascii="Century Gothic" w:hAnsi="Century Gothic"/>
          <w:b/>
          <w:bCs/>
        </w:rPr>
        <w:t>Egregio mio fratello di cuore e di idea</w:t>
      </w:r>
      <w:r w:rsidRPr="00D63CE5">
        <w:rPr>
          <w:rFonts w:ascii="Century Gothic" w:hAnsi="Century Gothic"/>
        </w:rPr>
        <w:t>”, “</w:t>
      </w:r>
      <w:r w:rsidRPr="00D63CE5">
        <w:rPr>
          <w:rFonts w:ascii="Century Gothic" w:hAnsi="Century Gothic"/>
          <w:b/>
          <w:bCs/>
        </w:rPr>
        <w:t>ho parlato di te con entusiasmo nelle nostre adunanze cooperative</w:t>
      </w:r>
      <w:r w:rsidRPr="00D63CE5">
        <w:rPr>
          <w:rFonts w:ascii="Century Gothic" w:hAnsi="Century Gothic"/>
        </w:rPr>
        <w:t xml:space="preserve">”, scrive Luzzatti. Condividendo una comune missione, i due pionieri del credito popolare si ammirano e si sostengono a vicenda. </w:t>
      </w:r>
    </w:p>
    <w:p w14:paraId="48E8EF16" w14:textId="77777777" w:rsidR="00D63CE5" w:rsidRPr="00D63CE5" w:rsidRDefault="00D63CE5" w:rsidP="00D63CE5">
      <w:pPr>
        <w:rPr>
          <w:rFonts w:ascii="Century Gothic" w:hAnsi="Century Gothic"/>
        </w:rPr>
      </w:pPr>
      <w:r w:rsidRPr="00D63CE5">
        <w:rPr>
          <w:rFonts w:ascii="Century Gothic" w:hAnsi="Century Gothic"/>
        </w:rPr>
        <w:t>Questi frammenti di epistolario, conservati dall’Archivio storico Banco BPM, sono la diretta testimonianza di come - da un’iniziale screzio - siano nati un’amicizia e un patto di ideali, da cui ha preso avvio un processo di cambiamento nel sistema bancario che si è propagato con successo in tutto il Paese.</w:t>
      </w:r>
    </w:p>
    <w:p w14:paraId="2B290C9D" w14:textId="77777777" w:rsidR="00D63CE5" w:rsidRPr="00D63CE5" w:rsidRDefault="00D63CE5" w:rsidP="00D63CE5">
      <w:pPr>
        <w:rPr>
          <w:rFonts w:ascii="Century Gothic" w:hAnsi="Century Gothic"/>
        </w:rPr>
      </w:pPr>
      <w:r w:rsidRPr="00D63CE5">
        <w:rPr>
          <w:rFonts w:ascii="Century Gothic" w:hAnsi="Century Gothic"/>
        </w:rPr>
        <w:t xml:space="preserve">Pur in assenza delle risposte di Tiziano Zalli, le lettere vergate da Luigi Luzzatti non restano silenti, perché attraverso le sue parole si ricostruisce un </w:t>
      </w:r>
      <w:r w:rsidRPr="00D63CE5">
        <w:rPr>
          <w:rFonts w:ascii="Century Gothic" w:hAnsi="Century Gothic"/>
          <w:b/>
          <w:bCs/>
        </w:rPr>
        <w:t>percorso comune</w:t>
      </w:r>
      <w:r w:rsidRPr="00D63CE5">
        <w:rPr>
          <w:rFonts w:ascii="Century Gothic" w:hAnsi="Century Gothic"/>
        </w:rPr>
        <w:t xml:space="preserve"> e si intuisce la </w:t>
      </w:r>
      <w:r w:rsidRPr="00D63CE5">
        <w:rPr>
          <w:rFonts w:ascii="Century Gothic" w:hAnsi="Century Gothic"/>
          <w:b/>
          <w:bCs/>
        </w:rPr>
        <w:t xml:space="preserve">forza di due visioni </w:t>
      </w:r>
      <w:r w:rsidRPr="00D63CE5">
        <w:rPr>
          <w:rFonts w:ascii="Century Gothic" w:hAnsi="Century Gothic"/>
        </w:rPr>
        <w:t xml:space="preserve">che si incontrano, si intrecciano e divengono realtà, continuando a </w:t>
      </w:r>
      <w:r w:rsidRPr="00D63CE5">
        <w:rPr>
          <w:rFonts w:ascii="Century Gothic" w:hAnsi="Century Gothic"/>
          <w:b/>
          <w:bCs/>
        </w:rPr>
        <w:t>parlare al nostro presente</w:t>
      </w:r>
      <w:r w:rsidRPr="00D63CE5">
        <w:rPr>
          <w:rFonts w:ascii="Century Gothic" w:hAnsi="Century Gothic"/>
        </w:rPr>
        <w:t xml:space="preserve"> e ricordandoci come le nostre radici siano il vero motore del futuro.</w:t>
      </w:r>
    </w:p>
    <w:p w14:paraId="3A823BA2" w14:textId="77777777" w:rsidR="00D63CE5" w:rsidRPr="00D63CE5" w:rsidRDefault="00D63CE5">
      <w:pPr>
        <w:rPr>
          <w:rFonts w:ascii="Century Gothic" w:hAnsi="Century Gothic"/>
        </w:rPr>
      </w:pPr>
    </w:p>
    <w:sectPr w:rsidR="00D63CE5" w:rsidRPr="00D63CE5">
      <w:headerReference w:type="even" r:id="rId6"/>
      <w:headerReference w:type="default" r:id="rId7"/>
      <w:headerReference w:type="firs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A832" w14:textId="77777777" w:rsidR="00D63CE5" w:rsidRDefault="00D63CE5" w:rsidP="00D63CE5">
      <w:pPr>
        <w:spacing w:after="0" w:line="240" w:lineRule="auto"/>
      </w:pPr>
      <w:r>
        <w:separator/>
      </w:r>
    </w:p>
  </w:endnote>
  <w:endnote w:type="continuationSeparator" w:id="0">
    <w:p w14:paraId="105ACB67" w14:textId="77777777" w:rsidR="00D63CE5" w:rsidRDefault="00D63CE5" w:rsidP="00D63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6F652" w14:textId="77777777" w:rsidR="00D63CE5" w:rsidRDefault="00D63CE5" w:rsidP="00D63CE5">
      <w:pPr>
        <w:spacing w:after="0" w:line="240" w:lineRule="auto"/>
      </w:pPr>
      <w:r>
        <w:separator/>
      </w:r>
    </w:p>
  </w:footnote>
  <w:footnote w:type="continuationSeparator" w:id="0">
    <w:p w14:paraId="4B54273F" w14:textId="77777777" w:rsidR="00D63CE5" w:rsidRDefault="00D63CE5" w:rsidP="00D63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DEEF" w14:textId="77777777" w:rsidR="00D63CE5" w:rsidRDefault="00D63CE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E763" w14:textId="77777777" w:rsidR="00D63CE5" w:rsidRDefault="00D63CE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EA43" w14:textId="77777777" w:rsidR="00D63CE5" w:rsidRDefault="00D63CE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E5"/>
    <w:rsid w:val="001A79CA"/>
    <w:rsid w:val="00313C1A"/>
    <w:rsid w:val="00327199"/>
    <w:rsid w:val="003D540D"/>
    <w:rsid w:val="00A67096"/>
    <w:rsid w:val="00C16EEC"/>
    <w:rsid w:val="00D63CE5"/>
    <w:rsid w:val="00E948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ABC4"/>
  <w15:chartTrackingRefBased/>
  <w15:docId w15:val="{C4735E3B-1B52-4D19-B433-E9EC0113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63CE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63CE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63CE5"/>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63CE5"/>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63CE5"/>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63C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63C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63C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63C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3CE5"/>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63CE5"/>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63CE5"/>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63CE5"/>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63CE5"/>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63C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63C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63C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63C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D63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63C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63CE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63C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63CE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63CE5"/>
    <w:rPr>
      <w:i/>
      <w:iCs/>
      <w:color w:val="404040" w:themeColor="text1" w:themeTint="BF"/>
    </w:rPr>
  </w:style>
  <w:style w:type="paragraph" w:styleId="Paragrafoelenco">
    <w:name w:val="List Paragraph"/>
    <w:basedOn w:val="Normale"/>
    <w:uiPriority w:val="34"/>
    <w:qFormat/>
    <w:rsid w:val="00D63CE5"/>
    <w:pPr>
      <w:ind w:left="720"/>
      <w:contextualSpacing/>
    </w:pPr>
  </w:style>
  <w:style w:type="character" w:styleId="Enfasiintensa">
    <w:name w:val="Intense Emphasis"/>
    <w:basedOn w:val="Carpredefinitoparagrafo"/>
    <w:uiPriority w:val="21"/>
    <w:qFormat/>
    <w:rsid w:val="00D63CE5"/>
    <w:rPr>
      <w:i/>
      <w:iCs/>
      <w:color w:val="365F91" w:themeColor="accent1" w:themeShade="BF"/>
    </w:rPr>
  </w:style>
  <w:style w:type="paragraph" w:styleId="Citazioneintensa">
    <w:name w:val="Intense Quote"/>
    <w:basedOn w:val="Normale"/>
    <w:next w:val="Normale"/>
    <w:link w:val="CitazioneintensaCarattere"/>
    <w:uiPriority w:val="30"/>
    <w:qFormat/>
    <w:rsid w:val="00D63C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63CE5"/>
    <w:rPr>
      <w:i/>
      <w:iCs/>
      <w:color w:val="365F91" w:themeColor="accent1" w:themeShade="BF"/>
    </w:rPr>
  </w:style>
  <w:style w:type="character" w:styleId="Riferimentointenso">
    <w:name w:val="Intense Reference"/>
    <w:basedOn w:val="Carpredefinitoparagrafo"/>
    <w:uiPriority w:val="32"/>
    <w:qFormat/>
    <w:rsid w:val="00D63CE5"/>
    <w:rPr>
      <w:b/>
      <w:bCs/>
      <w:smallCaps/>
      <w:color w:val="365F91" w:themeColor="accent1" w:themeShade="BF"/>
      <w:spacing w:val="5"/>
    </w:rPr>
  </w:style>
  <w:style w:type="paragraph" w:styleId="Intestazione">
    <w:name w:val="header"/>
    <w:basedOn w:val="Normale"/>
    <w:link w:val="IntestazioneCarattere"/>
    <w:uiPriority w:val="99"/>
    <w:unhideWhenUsed/>
    <w:rsid w:val="00D63C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3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834</Words>
  <Characters>4756</Characters>
  <Application>Microsoft Office Word</Application>
  <DocSecurity>0</DocSecurity>
  <Lines>39</Lines>
  <Paragraphs>11</Paragraphs>
  <ScaleCrop>false</ScaleCrop>
  <Company>Banco BPM</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MYRTIA ANGELINI</dc:creator>
  <cp:keywords/>
  <dc:description/>
  <cp:lastModifiedBy>EMMA DE GASPARI</cp:lastModifiedBy>
  <cp:revision>2</cp:revision>
  <dcterms:created xsi:type="dcterms:W3CDTF">2026-05-15T07:21:00Z</dcterms:created>
  <dcterms:modified xsi:type="dcterms:W3CDTF">2026-05-18T13:29:00Z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b66a3f-23d5-47bf-b334-f79590e3341a_Enabled">
    <vt:lpwstr>true</vt:lpwstr>
  </property>
  <property fmtid="{D5CDD505-2E9C-101B-9397-08002B2CF9AE}" pid="3" name="MSIP_Label_25b66a3f-23d5-47bf-b334-f79590e3341a_SetDate">
    <vt:lpwstr>2026-05-18T13:29:42Z</vt:lpwstr>
  </property>
  <property fmtid="{D5CDD505-2E9C-101B-9397-08002B2CF9AE}" pid="4" name="MSIP_Label_25b66a3f-23d5-47bf-b334-f79590e3341a_Method">
    <vt:lpwstr>Privileged</vt:lpwstr>
  </property>
  <property fmtid="{D5CDD505-2E9C-101B-9397-08002B2CF9AE}" pid="5" name="MSIP_Label_25b66a3f-23d5-47bf-b334-f79590e3341a_Name">
    <vt:lpwstr>Pubblico</vt:lpwstr>
  </property>
  <property fmtid="{D5CDD505-2E9C-101B-9397-08002B2CF9AE}" pid="6" name="MSIP_Label_25b66a3f-23d5-47bf-b334-f79590e3341a_SiteId">
    <vt:lpwstr>dfe794a4-c273-408a-92de-2566d5a8e56b</vt:lpwstr>
  </property>
  <property fmtid="{D5CDD505-2E9C-101B-9397-08002B2CF9AE}" pid="7" name="MSIP_Label_25b66a3f-23d5-47bf-b334-f79590e3341a_ActionId">
    <vt:lpwstr>a5e5873c-db29-48cf-a1d6-ae3e6fe7e483</vt:lpwstr>
  </property>
  <property fmtid="{D5CDD505-2E9C-101B-9397-08002B2CF9AE}" pid="8" name="MSIP_Label_25b66a3f-23d5-47bf-b334-f79590e3341a_ContentBits">
    <vt:lpwstr>0</vt:lpwstr>
  </property>
  <property fmtid="{D5CDD505-2E9C-101B-9397-08002B2CF9AE}" pid="9" name="MSIP_Label_25b66a3f-23d5-47bf-b334-f79590e3341a_Tag">
    <vt:lpwstr>10, 0, 1, 1</vt:lpwstr>
  </property>
</Properties>
</file>